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教育学一级学科硕士点学位授权点建设年度报告</w:t>
      </w:r>
    </w:p>
    <w:p>
      <w:pPr>
        <w:jc w:val="center"/>
        <w:rPr>
          <w:rFonts w:hint="eastAsia"/>
          <w:lang w:val="en-US" w:eastAsia="zh-CN"/>
        </w:rPr>
      </w:pPr>
      <w:r>
        <w:rPr>
          <w:rFonts w:hint="eastAsia" w:ascii="黑体" w:hAnsi="黑体" w:eastAsia="黑体" w:cs="黑体"/>
          <w:sz w:val="28"/>
          <w:szCs w:val="28"/>
          <w:lang w:val="en-US" w:eastAsia="zh-CN"/>
        </w:rPr>
        <w:t>（2021年）</w:t>
      </w:r>
    </w:p>
    <w:p>
      <w:pPr>
        <w:ind w:firstLine="560" w:firstLineChars="200"/>
        <w:jc w:val="both"/>
        <w:rPr>
          <w:rFonts w:hint="default"/>
          <w:lang w:val="en-US" w:eastAsia="zh-CN"/>
        </w:rPr>
      </w:pPr>
      <w:r>
        <w:rPr>
          <w:rFonts w:hint="eastAsia" w:ascii="黑体" w:hAnsi="黑体" w:eastAsia="黑体" w:cs="黑体"/>
          <w:sz w:val="28"/>
          <w:szCs w:val="28"/>
          <w:lang w:val="en-US" w:eastAsia="zh-CN"/>
        </w:rPr>
        <w:t>一、总体概况</w:t>
      </w:r>
    </w:p>
    <w:p>
      <w:pPr>
        <w:ind w:firstLine="562" w:firstLineChars="200"/>
        <w:jc w:val="both"/>
        <w:rPr>
          <w:rFonts w:hint="default"/>
          <w:lang w:val="en-US" w:eastAsia="zh-CN"/>
        </w:rPr>
      </w:pPr>
      <w:r>
        <w:rPr>
          <w:rFonts w:hint="eastAsia" w:ascii="仿宋" w:hAnsi="仿宋" w:eastAsia="仿宋" w:cs="仿宋"/>
          <w:b/>
          <w:bCs/>
          <w:sz w:val="28"/>
          <w:szCs w:val="28"/>
          <w:lang w:val="en-US" w:eastAsia="zh-CN"/>
        </w:rPr>
        <w:t>（一）学位授权点基本情况</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山西大学教育学一级学科硕士学位授予点自从2011年获批之后，到2020年，现有教育学二级学科六个：教育学原理、教育史、课程与教学、高等教育学、成人教育学、职业技术教育。在培养标准、基本条件建设、人才培养及保障体系方面有效开展各项工作，取得了一些成绩，在科研上形成了具有地方特色的研究方向与成果，为山西省基础教育改革、高等教育发展、成人教育及职业技术教育提供了政策性建议与咨询，受到多方好评。</w:t>
      </w:r>
    </w:p>
    <w:p>
      <w:pPr>
        <w:ind w:firstLine="562" w:firstLineChars="200"/>
        <w:jc w:val="both"/>
        <w:rPr>
          <w:rFonts w:hint="default"/>
          <w:lang w:val="en-US" w:eastAsia="zh-CN"/>
        </w:rPr>
      </w:pPr>
      <w:r>
        <w:rPr>
          <w:rFonts w:hint="eastAsia" w:ascii="仿宋" w:hAnsi="仿宋" w:eastAsia="仿宋" w:cs="仿宋"/>
          <w:b/>
          <w:bCs/>
          <w:sz w:val="28"/>
          <w:szCs w:val="28"/>
          <w:lang w:val="en-US" w:eastAsia="zh-CN"/>
        </w:rPr>
        <w:t>（二）培养目标与培养方向简介</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1.培养目标</w:t>
      </w:r>
    </w:p>
    <w:p>
      <w:pPr>
        <w:ind w:firstLine="560" w:firstLineChars="20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学位点培养目标，以学位办培养目标为基准，结合山西大学综合性学科优势，努力突出山西在转型跨越发展过程中对教育人才的需求，来制定培养目标。教育学硕士是培养适应国家和地方社会发展需要的德智体美全面发展的高层次复合型教育学专门人才。</w:t>
      </w:r>
    </w:p>
    <w:p>
      <w:pPr>
        <w:ind w:firstLine="560" w:firstLineChars="200"/>
        <w:rPr>
          <w:rFonts w:hint="eastAsia" w:ascii="仿宋" w:hAnsi="仿宋" w:eastAsia="仿宋" w:cs="仿宋"/>
          <w:sz w:val="28"/>
          <w:szCs w:val="28"/>
          <w:lang w:val="en-US" w:eastAsia="zh-CN" w:bidi="ar-SA"/>
        </w:rPr>
      </w:pPr>
      <w:r>
        <w:rPr>
          <w:rFonts w:hint="default" w:ascii="Times New Roman" w:hAnsi="Times New Roman" w:cs="Times New Roman"/>
          <w:sz w:val="28"/>
          <w:szCs w:val="28"/>
          <w:lang w:val="en-US" w:eastAsia="zh-CN" w:bidi="ar-SA"/>
        </w:rPr>
        <w:t>2</w:t>
      </w:r>
      <w:r>
        <w:rPr>
          <w:rFonts w:hint="eastAsia" w:ascii="宋体" w:cs="宋体"/>
          <w:sz w:val="28"/>
          <w:szCs w:val="28"/>
          <w:lang w:val="en-US" w:eastAsia="zh-CN" w:bidi="ar-SA"/>
        </w:rPr>
        <w:t>.</w:t>
      </w:r>
      <w:r>
        <w:rPr>
          <w:rFonts w:hint="eastAsia" w:ascii="仿宋" w:hAnsi="仿宋" w:eastAsia="仿宋" w:cs="仿宋"/>
          <w:sz w:val="28"/>
          <w:szCs w:val="28"/>
          <w:lang w:val="en-US" w:eastAsia="zh-CN" w:bidi="ar-SA"/>
        </w:rPr>
        <w:t>培养方向简介</w:t>
      </w:r>
    </w:p>
    <w:p>
      <w:pPr>
        <w:widowControl w:val="0"/>
        <w:ind w:left="0" w:firstLine="56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获批教育学一级学科学位授权点以来，共在六个二级学科下招生。</w:t>
      </w:r>
    </w:p>
    <w:p>
      <w:pPr>
        <w:widowControl w:val="0"/>
        <w:ind w:left="0" w:firstLine="56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教育学原理：主要聚焦教育基础理论开展研究，不仅对教育的发展规律、教育与人之间的关系等进行研究，特别从历史、现实和未来的角度，对中国教育学发展进行系统研究，把促进教育学学科发展作为重要任务和使命。</w:t>
      </w:r>
    </w:p>
    <w:p>
      <w:pPr>
        <w:widowControl w:val="0"/>
        <w:ind w:left="0" w:firstLine="56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教育史：以中国教育史和外国教育史为主要研究领域，在国内教育史学科中逐渐形成了特色鲜明的学术研究方向。注重运用历史研究方法研究中外教育制度、教育思想发展过程中的教育问题，以期达到教育史学研究对于社会变迁进程理性关怀的学术研究宗旨。</w:t>
      </w:r>
    </w:p>
    <w:p>
      <w:pPr>
        <w:widowControl w:val="0"/>
        <w:ind w:left="0" w:firstLine="56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课程与教学论：兼顾课程与教学的理论研究和实践研究，旨在为课程与教学理论和实践的发展进行必要的探索。在理论方面主要对课程与教学现象进行理性审视，基于事实进行原理的建构；在实践方面，主要就课程与教学理论的应用和教学经验的提升进行探索。</w:t>
      </w:r>
    </w:p>
    <w:p>
      <w:pPr>
        <w:widowControl w:val="0"/>
        <w:ind w:left="0" w:firstLine="56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高等教育学：研究高等教育改革与发展的理论与实践，着力关注地方大学的发展实际，突出地方大学与区域发展的互动关系，探索地方大学在人才培养、科学研究、社会服务及文化传承创新等方面的实践规律。</w:t>
      </w:r>
    </w:p>
    <w:p>
      <w:pPr>
        <w:ind w:firstLine="560" w:firstLineChars="20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成人教育学：研究成人的相关理论和实践问题。在全面了解国内外相关教育现象的基础上，努力探索成人教育特点及规律，以此为成人教育的健康有序发展提供思想上、方法上和战略上的指导，为建设学习型社会服务。</w:t>
      </w:r>
    </w:p>
    <w:p>
      <w:pPr>
        <w:ind w:firstLine="560" w:firstLineChars="200"/>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职业技术教育学：</w:t>
      </w:r>
      <w:bookmarkStart w:id="0" w:name="_GoBack"/>
      <w:r>
        <w:rPr>
          <w:rFonts w:hint="eastAsia" w:ascii="仿宋" w:hAnsi="仿宋" w:eastAsia="仿宋" w:cs="仿宋"/>
          <w:sz w:val="28"/>
          <w:szCs w:val="28"/>
          <w:lang w:val="en-US" w:eastAsia="zh-CN" w:bidi="ar-SA"/>
        </w:rPr>
        <w:t>研究职业教育的相关理论和实践问题。在全面了解国内外职业技术教育发展的基础上，努力探索职业技术教育的理论与实践，促进我国职业技术教育学科发展。</w:t>
      </w:r>
    </w:p>
    <w:bookmarkEnd w:id="0"/>
    <w:p>
      <w:p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（三）研究生规模</w:t>
      </w:r>
    </w:p>
    <w:p>
      <w:pPr>
        <w:ind w:firstLine="560" w:firstLineChars="200"/>
        <w:jc w:val="both"/>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2021年研究生招生硕士43人，学位授予39人。</w:t>
      </w:r>
    </w:p>
    <w:p>
      <w:pPr>
        <w:ind w:firstLine="562" w:firstLineChars="200"/>
        <w:jc w:val="both"/>
        <w:rPr>
          <w:rFonts w:hint="default" w:ascii="仿宋" w:hAnsi="仿宋" w:eastAsia="仿宋" w:cs="仿宋"/>
          <w:sz w:val="28"/>
          <w:szCs w:val="28"/>
          <w:lang w:val="en-US" w:eastAsia="zh-CN" w:bidi="ar-SA"/>
        </w:rPr>
      </w:pPr>
      <w:r>
        <w:rPr>
          <w:rFonts w:hint="eastAsia" w:ascii="仿宋" w:hAnsi="仿宋" w:eastAsia="仿宋" w:cs="仿宋"/>
          <w:b/>
          <w:bCs/>
          <w:sz w:val="28"/>
          <w:szCs w:val="28"/>
          <w:lang w:val="en-US" w:eastAsia="zh-CN"/>
        </w:rPr>
        <w:t>（四）研究生导师状况</w:t>
      </w:r>
    </w:p>
    <w:p>
      <w:pPr>
        <w:jc w:val="both"/>
        <w:rPr>
          <w:rFonts w:hint="default"/>
          <w:color w:val="auto"/>
          <w:lang w:val="en-US" w:eastAsia="zh-CN"/>
        </w:rPr>
      </w:pPr>
      <w:r>
        <w:rPr>
          <w:rFonts w:hint="eastAsia"/>
          <w:lang w:val="en-US" w:eastAsia="zh-CN"/>
        </w:rPr>
        <w:t xml:space="preserve">   </w:t>
      </w:r>
      <w:r>
        <w:rPr>
          <w:rFonts w:hint="eastAsia"/>
          <w:color w:val="auto"/>
          <w:lang w:val="en-US" w:eastAsia="zh-CN"/>
        </w:rPr>
        <w:t xml:space="preserve">  </w:t>
      </w:r>
      <w:r>
        <w:rPr>
          <w:rFonts w:hint="eastAsia" w:ascii="仿宋" w:hAnsi="仿宋" w:eastAsia="仿宋" w:cs="仿宋"/>
          <w:color w:val="auto"/>
          <w:sz w:val="28"/>
          <w:szCs w:val="28"/>
          <w:lang w:val="en-US" w:eastAsia="zh-CN"/>
        </w:rPr>
        <w:t>截至2021年教育学一级学科授权点现有导师33人，其中有博士生导师1人。教授11人，副教授20人，讲师2人，高级职称占比例94%；已获博士学位27人，具有博士学位者占教师总数82%，中青年教师是导师队伍的主体。</w:t>
      </w:r>
    </w:p>
    <w:p>
      <w:pPr>
        <w:numPr>
          <w:ilvl w:val="0"/>
          <w:numId w:val="0"/>
        </w:numPr>
        <w:ind w:firstLine="560" w:firstLineChars="200"/>
        <w:jc w:val="both"/>
        <w:rPr>
          <w:rFonts w:hint="eastAsia"/>
          <w:lang w:val="en-US" w:eastAsia="zh-CN"/>
        </w:rPr>
      </w:pPr>
      <w:r>
        <w:rPr>
          <w:rFonts w:hint="eastAsia" w:ascii="黑体" w:hAnsi="黑体" w:eastAsia="黑体" w:cs="黑体"/>
          <w:sz w:val="28"/>
          <w:szCs w:val="28"/>
          <w:lang w:val="en-US" w:eastAsia="zh-CN"/>
        </w:rPr>
        <w:t>二、研究生党建和思想政治教育工作</w:t>
      </w:r>
    </w:p>
    <w:p>
      <w:pPr>
        <w:widowControl w:val="0"/>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（一）思想政治教育队伍建设情况</w:t>
      </w:r>
    </w:p>
    <w:p>
      <w:pPr>
        <w:widowControl w:val="0"/>
        <w:numPr>
          <w:ilvl w:val="0"/>
          <w:numId w:val="0"/>
        </w:numPr>
        <w:ind w:firstLine="560" w:firstLineChars="200"/>
        <w:jc w:val="both"/>
        <w:rPr>
          <w:rFonts w:hint="eastAsia" w:ascii="仿宋" w:hAnsi="仿宋" w:eastAsia="仿宋" w:cs="仿宋"/>
          <w:sz w:val="28"/>
          <w:szCs w:val="28"/>
        </w:rPr>
      </w:pPr>
      <w:r>
        <w:rPr>
          <w:rFonts w:ascii="仿宋" w:hAnsi="仿宋" w:eastAsia="仿宋" w:cs="仿宋"/>
          <w:sz w:val="28"/>
          <w:szCs w:val="28"/>
        </w:rPr>
        <w:t>以全员育人理念为依据，建立学科教师兼任辅导员工作机制</w:t>
      </w:r>
      <w:r>
        <w:rPr>
          <w:rFonts w:hint="eastAsia" w:ascii="仿宋" w:hAnsi="仿宋" w:eastAsia="仿宋" w:cs="仿宋"/>
          <w:sz w:val="28"/>
          <w:szCs w:val="28"/>
        </w:rPr>
        <w:t>。</w:t>
      </w:r>
      <w:r>
        <w:rPr>
          <w:rFonts w:ascii="仿宋" w:hAnsi="仿宋" w:eastAsia="仿宋" w:cs="仿宋"/>
          <w:sz w:val="28"/>
          <w:szCs w:val="28"/>
        </w:rPr>
        <w:t>学院选拔政治素质高、业务能力强的学科教师 担任兼职辅导员，组建了专职辅导员为主、兼职辅导员为辅、班主任和导师相结合的思政工作队伍。建立工作目标考核和工作激励机制，鼓励辅导员开展思政工作科学研究，提升辅导员政治素质和业务能力。</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（二）思政课程建设与课程思政落实情况</w:t>
      </w:r>
    </w:p>
    <w:p>
      <w:pPr>
        <w:widowControl w:val="0"/>
        <w:numPr>
          <w:ilvl w:val="0"/>
          <w:numId w:val="0"/>
        </w:numPr>
        <w:jc w:val="both"/>
        <w:rPr>
          <w:rFonts w:hint="default"/>
          <w:lang w:val="en-US" w:eastAsia="zh-CN"/>
        </w:rPr>
      </w:pPr>
      <w:r>
        <w:rPr>
          <w:rFonts w:hint="eastAsia"/>
          <w:lang w:val="en-US" w:eastAsia="zh-CN"/>
        </w:rPr>
        <w:t xml:space="preserve">    </w:t>
      </w:r>
      <w:r>
        <w:rPr>
          <w:rFonts w:hint="eastAsia" w:ascii="仿宋" w:hAnsi="仿宋" w:eastAsia="仿宋" w:cs="仿宋"/>
          <w:sz w:val="28"/>
          <w:szCs w:val="28"/>
          <w:lang w:val="en-US" w:eastAsia="zh-CN"/>
        </w:rPr>
        <w:t>思政课程实行专门开设课程与课程渗透为基本方式。通过研究生教育教学全过程提升研究生思想道德水平。创新思政教育形式，通过课堂讲授、活动学习、案例教学、项目学习等形式，建构“党建+思政”“党建+学科”“党建+互联网”的协同创新机制，以党建引领促进思政教育和学科发展。通过一系列举措拓展思政教育教学渠道。</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（三）研究生党建与校园文化建设情况</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1.学院研究生党建工作着力于“培养——发展——教育——服务——管理”五级工作模式的建构。</w:t>
      </w:r>
    </w:p>
    <w:p>
      <w:pPr>
        <w:ind w:firstLine="560" w:firstLineChars="200"/>
        <w:rPr>
          <w:rFonts w:hint="eastAsia"/>
          <w:lang w:val="en-US" w:eastAsia="zh-CN"/>
        </w:rPr>
      </w:pPr>
      <w:r>
        <w:rPr>
          <w:rFonts w:hint="eastAsia" w:ascii="仿宋" w:hAnsi="仿宋" w:eastAsia="仿宋" w:cs="仿宋"/>
          <w:sz w:val="28"/>
          <w:szCs w:val="28"/>
          <w:lang w:val="en-US" w:eastAsia="zh-CN"/>
        </w:rPr>
        <w:t>2.校园文化建设着重在于学术文化建设和社会实践志愿服务建设。学术文化建设主要是每一年由研究生会承办的“研究生学术论坛”和“学术五分钟”，主要参加人员就是学院的在读研究生和导师。志愿服务建设主要是形成了从“班级——学院——学校”三级志愿服务体系，针对重大活动开展服务他人的志愿服务活动。</w:t>
      </w:r>
    </w:p>
    <w:p>
      <w:pPr>
        <w:widowControl w:val="0"/>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（四）日常管理服务情况</w:t>
      </w:r>
    </w:p>
    <w:p>
      <w:pPr>
        <w:widowControl w:val="0"/>
        <w:numPr>
          <w:ilvl w:val="0"/>
          <w:numId w:val="0"/>
        </w:numPr>
        <w:ind w:firstLine="560" w:firstLineChars="200"/>
        <w:jc w:val="both"/>
        <w:rPr>
          <w:rFonts w:hint="eastAsia"/>
          <w:lang w:val="en-US" w:eastAsia="zh-CN"/>
        </w:rPr>
      </w:pPr>
      <w:r>
        <w:rPr>
          <w:rFonts w:hint="eastAsia" w:eastAsia="仿宋"/>
          <w:sz w:val="28"/>
          <w:szCs w:val="28"/>
          <w:lang w:val="en-US" w:eastAsia="zh-CN"/>
        </w:rPr>
        <w:t>以促进学生的学习、生活、成长为原则，做好研究生日常管理与服务工作。通过辅导员和导师，掌握研究生日常学习生活动态，坚持班会制度、研究生读书会、组会，与学生谈心、交流，通过任务、汇报、交流等方式，做到围绕学生、关照学生、服务学生。</w:t>
      </w:r>
    </w:p>
    <w:p>
      <w:pPr>
        <w:numPr>
          <w:ilvl w:val="0"/>
          <w:numId w:val="0"/>
        </w:numPr>
        <w:ind w:firstLine="560" w:firstLineChars="20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三、研究生培养相关制度及执行情况</w:t>
      </w:r>
    </w:p>
    <w:p>
      <w:pPr>
        <w:numPr>
          <w:ilvl w:val="0"/>
          <w:numId w:val="0"/>
        </w:numPr>
        <w:ind w:firstLine="562" w:firstLineChars="200"/>
        <w:jc w:val="both"/>
        <w:rPr>
          <w:rFonts w:hint="default" w:ascii="黑体" w:hAnsi="黑体" w:eastAsia="黑体" w:cs="黑体"/>
          <w:sz w:val="28"/>
          <w:szCs w:val="28"/>
          <w:lang w:val="en-US" w:eastAsia="zh-CN"/>
        </w:rPr>
      </w:pPr>
      <w:r>
        <w:rPr>
          <w:rFonts w:hint="eastAsia" w:ascii="仿宋" w:hAnsi="仿宋" w:eastAsia="仿宋" w:cs="仿宋"/>
          <w:b/>
          <w:bCs/>
          <w:sz w:val="28"/>
          <w:szCs w:val="28"/>
          <w:lang w:val="en-US" w:eastAsia="zh-CN"/>
        </w:rPr>
        <w:t>（一）课程建设与实施情况</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担教育学研究生核心课程的教师，职称结构合理。多位高级职称教师为研究生开设主干课程。为保证课程教学质量，制定有学生评教制度，然后根据学生的反映，教师进行调整与改进。教师综合使用讲授、案例教学、讨论法、等多种教学形式教学。</w:t>
      </w:r>
    </w:p>
    <w:p>
      <w:pPr>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（二）导师选拔培训</w:t>
      </w:r>
    </w:p>
    <w:p>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按照学校研究生院遴选和考核研究生导师的制度，对导师进行遴选和考核，选拔出1名研究生导师。审核2020年导师招生资格。认真组织导师参加学校的新导师培训会议。</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（三）师德师风建设情况</w:t>
      </w:r>
    </w:p>
    <w:p>
      <w:pPr>
        <w:numPr>
          <w:ilvl w:val="0"/>
          <w:numId w:val="0"/>
        </w:numPr>
        <w:ind w:firstLine="560" w:firstLineChars="200"/>
        <w:jc w:val="both"/>
        <w:rPr>
          <w:rFonts w:hint="eastAsia" w:ascii="黑体" w:hAnsi="黑体" w:eastAsia="黑体" w:cs="黑体"/>
          <w:sz w:val="28"/>
          <w:szCs w:val="28"/>
          <w:lang w:val="en-US" w:eastAsia="zh-CN"/>
        </w:rPr>
      </w:pPr>
      <w:r>
        <w:rPr>
          <w:rFonts w:hint="eastAsia" w:eastAsia="仿宋"/>
          <w:sz w:val="28"/>
          <w:szCs w:val="28"/>
          <w:lang w:val="en-US" w:eastAsia="zh-CN"/>
        </w:rPr>
        <w:t>学位点党委在上级党组织的领导下，把师德专题教育纳入党建发展的总任务，把师德教育融入到教学、科研、师资队伍建设等各项工作中，引导广大教师更好地以德立身、以德立学、以德施教，提高了立德树人的崇高意识和责任意识。</w:t>
      </w:r>
      <w:r>
        <w:rPr>
          <w:rFonts w:hint="eastAsia" w:ascii="黑体" w:hAnsi="黑体" w:eastAsia="黑体" w:cs="黑体"/>
          <w:sz w:val="28"/>
          <w:szCs w:val="28"/>
          <w:lang w:val="en-US" w:eastAsia="zh-CN"/>
        </w:rPr>
        <w:t xml:space="preserve"> </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（四）学术训练（专业实践）情况</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除了在课堂中进行学术训练之外，学位授权点还有多项日常学术训练活动，比如：定期开展研究生“一文·一书·一论坛 ”活动和“学术五分钟”活动，多位导师组织研究生开展读书会，研究生组会，如“学术星期二”等活动。</w:t>
      </w:r>
    </w:p>
    <w:p>
      <w:pPr>
        <w:numPr>
          <w:ilvl w:val="0"/>
          <w:numId w:val="0"/>
        </w:numPr>
        <w:ind w:firstLine="560" w:firstLineChars="200"/>
        <w:jc w:val="both"/>
        <w:rPr>
          <w:rFonts w:hint="default" w:ascii="宋体" w:hAnsi="宋体" w:cs="宋体"/>
          <w:sz w:val="28"/>
          <w:szCs w:val="28"/>
          <w:lang w:val="en-US" w:eastAsia="zh-CN"/>
        </w:rPr>
      </w:pPr>
      <w:r>
        <w:rPr>
          <w:rFonts w:hint="eastAsia" w:ascii="仿宋" w:hAnsi="仿宋" w:eastAsia="仿宋" w:cs="仿宋"/>
          <w:sz w:val="28"/>
          <w:szCs w:val="28"/>
          <w:lang w:val="en-US" w:eastAsia="zh-CN"/>
        </w:rPr>
        <w:t>依据学校研究生培养的相关制度，授权点为学生创设一定的实践空间，保证学生能够进行创造性研究的机会。积极推进实践教学改革。</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（五）学术交流情况</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组织研究生参与和聆听线上线下的学术报告，组织研究生学术交流活动，鼓励学生独立展示研究成果，导师积极吸取研究生进入研究课题，指导学生进行研究。研究生也在此基础上形成了一定的研究成果。</w:t>
      </w:r>
    </w:p>
    <w:p>
      <w:pPr>
        <w:numPr>
          <w:ilvl w:val="0"/>
          <w:numId w:val="0"/>
        </w:numPr>
        <w:ind w:firstLine="562" w:firstLineChars="200"/>
        <w:jc w:val="both"/>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（六）研究生奖助情况</w:t>
      </w:r>
    </w:p>
    <w:p>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位点依托学校对研究生的奖助体系，学校相关制度，完善了适合教育学硕士的研究生奖助体系制度。包括国家奖学金、研究生学业奖学金等多种奖助类别。2021年，研究生各类奖学金，平均覆盖比例42.8%，各类助学金平均覆盖比达100%。</w:t>
      </w:r>
    </w:p>
    <w:p>
      <w:pPr>
        <w:numPr>
          <w:ilvl w:val="0"/>
          <w:numId w:val="0"/>
        </w:numPr>
        <w:ind w:firstLine="560" w:firstLineChars="200"/>
        <w:jc w:val="both"/>
        <w:rPr>
          <w:rFonts w:hint="default" w:ascii="仿宋" w:hAnsi="仿宋" w:eastAsia="仿宋" w:cs="仿宋"/>
          <w:b/>
          <w:bCs/>
          <w:sz w:val="28"/>
          <w:szCs w:val="28"/>
          <w:lang w:val="en-US" w:eastAsia="zh-CN"/>
        </w:rPr>
      </w:pPr>
      <w:r>
        <w:rPr>
          <w:rFonts w:hint="eastAsia" w:ascii="黑体" w:hAnsi="黑体" w:eastAsia="黑体" w:cs="黑体"/>
          <w:sz w:val="28"/>
          <w:szCs w:val="28"/>
          <w:lang w:val="en-US" w:eastAsia="zh-CN"/>
        </w:rPr>
        <w:t>四、研究生教育改革措施</w:t>
      </w:r>
    </w:p>
    <w:p>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教育学学位点人才培养、教师队伍建设、科学研究、科研成果转化、促进科技进步、服务国家和地区经济发展、繁荣和发展社会主义文化，等方面进行规范培养。在国际合作交流方面，教育学授权点创新国际课程，于2021年10、11月以在线会议形式举办组织了系列英文课程讲座，让学生学习解教育学界国际同行研究动态。</w:t>
      </w:r>
    </w:p>
    <w:p>
      <w:pPr>
        <w:numPr>
          <w:ilvl w:val="0"/>
          <w:numId w:val="0"/>
        </w:numPr>
        <w:ind w:firstLine="560" w:firstLineChars="200"/>
        <w:jc w:val="both"/>
        <w:rPr>
          <w:rFonts w:hint="default" w:ascii="仿宋" w:hAnsi="仿宋" w:eastAsia="仿宋" w:cs="仿宋"/>
          <w:b/>
          <w:bCs/>
          <w:sz w:val="28"/>
          <w:szCs w:val="28"/>
          <w:lang w:val="en-US" w:eastAsia="zh-CN"/>
        </w:rPr>
      </w:pPr>
      <w:r>
        <w:rPr>
          <w:rFonts w:hint="eastAsia" w:ascii="黑体" w:hAnsi="黑体" w:eastAsia="黑体" w:cs="黑体"/>
          <w:sz w:val="28"/>
          <w:szCs w:val="28"/>
          <w:lang w:val="en-US" w:eastAsia="zh-CN"/>
        </w:rPr>
        <w:t>五、学位点建设存在的问题与分析及改进措施</w:t>
      </w:r>
    </w:p>
    <w:p>
      <w:pPr>
        <w:numPr>
          <w:ilvl w:val="0"/>
          <w:numId w:val="0"/>
        </w:numPr>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（一）学位点专业教师数量急需补充</w:t>
      </w:r>
    </w:p>
    <w:p>
      <w:pPr>
        <w:numPr>
          <w:ilvl w:val="0"/>
          <w:numId w:val="0"/>
        </w:numPr>
        <w:ind w:firstLine="560" w:firstLineChars="200"/>
        <w:jc w:val="both"/>
        <w:rPr>
          <w:rFonts w:hint="default" w:ascii="仿宋" w:hAnsi="仿宋" w:eastAsia="仿宋" w:cs="仿宋"/>
          <w:b/>
          <w:bCs/>
          <w:sz w:val="28"/>
          <w:szCs w:val="28"/>
          <w:lang w:val="en-US" w:eastAsia="zh-CN"/>
        </w:rPr>
      </w:pPr>
      <w:r>
        <w:rPr>
          <w:rFonts w:hint="default" w:ascii="仿宋" w:hAnsi="仿宋" w:eastAsia="仿宋" w:cs="仿宋"/>
          <w:b w:val="0"/>
          <w:bCs w:val="0"/>
          <w:sz w:val="28"/>
          <w:szCs w:val="28"/>
          <w:lang w:val="en-US" w:eastAsia="zh-CN"/>
        </w:rPr>
        <w:t>为提升学科发展的总体水平，</w:t>
      </w:r>
      <w:r>
        <w:rPr>
          <w:rFonts w:hint="eastAsia" w:ascii="仿宋" w:hAnsi="仿宋" w:eastAsia="仿宋" w:cs="仿宋"/>
          <w:b w:val="0"/>
          <w:bCs w:val="0"/>
          <w:sz w:val="28"/>
          <w:szCs w:val="28"/>
          <w:lang w:val="en-US" w:eastAsia="zh-CN"/>
        </w:rPr>
        <w:t>各二级学科</w:t>
      </w:r>
      <w:r>
        <w:rPr>
          <w:rFonts w:hint="default" w:ascii="仿宋" w:hAnsi="仿宋" w:eastAsia="仿宋" w:cs="仿宋"/>
          <w:b w:val="0"/>
          <w:bCs w:val="0"/>
          <w:sz w:val="28"/>
          <w:szCs w:val="28"/>
          <w:lang w:val="en-US" w:eastAsia="zh-CN"/>
        </w:rPr>
        <w:t>需要年富力强、具有专业视野和学术水平的高水平研究人员充实到队伍中，实现学科发展的总体跨越。课程与教学论方向、教育史方向尤其需要人员的补充。</w:t>
      </w:r>
    </w:p>
    <w:p>
      <w:pPr>
        <w:numPr>
          <w:ilvl w:val="0"/>
          <w:numId w:val="0"/>
        </w:numPr>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（二）学位论文选题需切实体现学科方向</w:t>
      </w:r>
    </w:p>
    <w:p>
      <w:pPr>
        <w:numPr>
          <w:ilvl w:val="0"/>
          <w:numId w:val="0"/>
        </w:numPr>
        <w:ind w:firstLine="560" w:firstLineChars="200"/>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部分研究生毕业论文选题不能很好体现学科方向，这</w:t>
      </w:r>
      <w:r>
        <w:rPr>
          <w:rFonts w:hint="eastAsia" w:ascii="仿宋" w:hAnsi="仿宋" w:eastAsia="仿宋" w:cs="仿宋"/>
          <w:b w:val="0"/>
          <w:bCs w:val="0"/>
          <w:sz w:val="28"/>
          <w:szCs w:val="28"/>
          <w:lang w:val="en-US" w:eastAsia="zh-CN"/>
        </w:rPr>
        <w:t>会</w:t>
      </w:r>
      <w:r>
        <w:rPr>
          <w:rFonts w:hint="default" w:ascii="仿宋" w:hAnsi="仿宋" w:eastAsia="仿宋" w:cs="仿宋"/>
          <w:b w:val="0"/>
          <w:bCs w:val="0"/>
          <w:sz w:val="28"/>
          <w:szCs w:val="28"/>
          <w:lang w:val="en-US" w:eastAsia="zh-CN"/>
        </w:rPr>
        <w:t>影响研究生深化专业思维，提炼专业成果，进而影响毕业生的专业发展能力，这方面亟待完善。</w:t>
      </w:r>
    </w:p>
    <w:p>
      <w:pPr>
        <w:numPr>
          <w:ilvl w:val="0"/>
          <w:numId w:val="0"/>
        </w:num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（三）改进措施</w:t>
      </w:r>
    </w:p>
    <w:p>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在人才引进方面，充分利用省市人才引进政策，引进高端学科人才4名，补充研究队伍的同时，进一步提升相关方向的科学研究水平。</w:t>
      </w:r>
    </w:p>
    <w:p>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在毕业论文选题方面，加强专业方向思维训练，从课堂教学、导师指导、毕业论文开题等方面做好引导和管理，将学科思维和选题规划渗入多个培养环节。</w:t>
      </w:r>
    </w:p>
    <w:p>
      <w:pPr>
        <w:numPr>
          <w:ilvl w:val="0"/>
          <w:numId w:val="0"/>
        </w:numPr>
        <w:jc w:val="both"/>
        <w:rPr>
          <w:rFonts w:hint="default" w:ascii="仿宋" w:hAnsi="仿宋" w:eastAsia="仿宋" w:cs="仿宋"/>
          <w:b/>
          <w:bCs/>
          <w:sz w:val="28"/>
          <w:szCs w:val="28"/>
          <w:lang w:val="en-US" w:eastAsia="zh-CN"/>
        </w:rPr>
      </w:pPr>
    </w:p>
    <w:sectPr>
      <w:footerReference r:id="rId3" w:type="default"/>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zgyNmZkYjYyYmMzZDY2ZGUzYjgxYzNmMDNhYWQifQ=="/>
  </w:docVars>
  <w:rsids>
    <w:rsidRoot w:val="1C4800A9"/>
    <w:rsid w:val="04BA49C1"/>
    <w:rsid w:val="0B4A4461"/>
    <w:rsid w:val="0BBB047B"/>
    <w:rsid w:val="1C4800A9"/>
    <w:rsid w:val="20A91137"/>
    <w:rsid w:val="20B64B07"/>
    <w:rsid w:val="28FA470F"/>
    <w:rsid w:val="30346D20"/>
    <w:rsid w:val="3D6E63BC"/>
    <w:rsid w:val="3FBD241B"/>
    <w:rsid w:val="42FA7F3B"/>
    <w:rsid w:val="44E21B5A"/>
    <w:rsid w:val="58A50C9B"/>
    <w:rsid w:val="5E802D2D"/>
    <w:rsid w:val="5F932E6D"/>
    <w:rsid w:val="62006DF9"/>
    <w:rsid w:val="6A2D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link w:val="8"/>
    <w:qFormat/>
    <w:uiPriority w:val="0"/>
    <w:pPr>
      <w:widowControl/>
      <w:adjustRightInd w:val="0"/>
      <w:snapToGrid w:val="0"/>
      <w:spacing w:after="200" w:line="240" w:lineRule="auto"/>
      <w:jc w:val="left"/>
    </w:pPr>
    <w:rPr>
      <w:rFonts w:ascii="Times New Roman" w:hAnsi="Times New Roman" w:eastAsia="宋体"/>
      <w:kern w:val="0"/>
      <w:sz w:val="18"/>
      <w:szCs w:val="18"/>
    </w:rPr>
  </w:style>
  <w:style w:type="character" w:styleId="7">
    <w:name w:val="footnote reference"/>
    <w:basedOn w:val="6"/>
    <w:qFormat/>
    <w:uiPriority w:val="0"/>
    <w:rPr>
      <w:rFonts w:ascii="Times New Roman" w:hAnsi="Times New Roman" w:eastAsia="宋体"/>
      <w:vertAlign w:val="superscript"/>
    </w:rPr>
  </w:style>
  <w:style w:type="character" w:customStyle="1" w:styleId="8">
    <w:name w:val="脚注文本 Char"/>
    <w:basedOn w:val="6"/>
    <w:link w:val="4"/>
    <w:qFormat/>
    <w:uiPriority w:val="0"/>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2997</Words>
  <Characters>3047</Characters>
  <Lines>0</Lines>
  <Paragraphs>0</Paragraphs>
  <TotalTime>86</TotalTime>
  <ScaleCrop>false</ScaleCrop>
  <LinksUpToDate>false</LinksUpToDate>
  <CharactersWithSpaces>3059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2022-03-07T01:00:00Z</dcterms:created>
  <dc:creator>zhengyf</dc:creator>
  <cp:lastModifiedBy>zhengyf</cp:lastModifiedBy>
  <dcterms:modified xsi:type="dcterms:W3CDTF">2022-05-01T07:24:33Z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01C4FEA118E94D33BF2576DA8EDD8359</vt:lpwstr>
  </property>
</Properties>
</file>